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03:29 МСК · База обновлена: 22.08.2026, 17:09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Медико-социальная экспертиза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проходит процедуру медицинского освидетельствования в Бюро МСЭ по месту жительства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мелких суставах кистей и стоп, коленных, голеностопных суставах. Боли имеют воспалительный характер - усиливаются в покое, немного ослабевают при нагрузке, после приема НПВП. На сильное припухание лучезапястных, пястно-фаланговых, проксимальных межфаланговых суставов. Значительное ограничение подвижности в лучезапястных суставах, значительное затруднение при выполнении действий, связанные с мелкой моторикой. Утренняя скованность в суставах длительностью до 6 часов.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Пациентка, 56 лет. Боли в мелких суставах кистей и стоп появились около 10 лет назад, сперва беспокоили только утром. С целью уменьшения болей принимала НПВП по потребности. В течение последних 8 лет отмечает усиление болевого синдрома. При обследовании диагностирован ревматоидный артрит (6 лет назад). Начата терапия преднизолоном 10 мг в день, метотрексатом 15 мг в неделю. На фоне лечения сперва отмечалось улучшение симптомов, но около 1 года назад суставной синдром усилился. За последний год – дважды проводилось стационарное лечение по поводу ревматоидного артрита (последняя госпитализация – 4 месяца назад. В настоящее время проводится терапия – преднизолон 10 мг в день, метотрексат 25 мг в неделю п/к, лефлономид 20 мг в день. На фоне лечения сохраняются вышеописанные жалобы, в анализах неоднократно – повышение СРБ, СОЭ. В последних анализах СОЭ 46 мм/час, а2-глобулины 20%, у-глобулины 40%, СРБ (62 мг/л /+++). На рентгенограмме кистей и стоп – околосуставной остеопороз, сужение суставных щелей, множественные костные эрозии, подвывихи в суставах кистей (изменения соответствуют III рентгенологической стадии). Направительный диагноз: Ревматоидный артрит, серопозитивный, АЦЦП+, поздняя клиническая стадия, активность высокая, ФК III.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 курит. Алкоголем не злоупотребляет. Образование начальное. Работала продавцом, последние 2 года не работает из-за болей в суставах. Аллергии нет. Передвигается самостоятельно. Затруднено самостоятельное одевание, раздевание, доставание и открытие предметов.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удовлетворительное, сознание ясное, ориентирована во времени и пространстве. Кожные покровы обычной окраски, чистые. В легких: дыхание везикулярное, хрипов нет, ЧДД=16 в мин. Сердце: тоны глухие, ритм правильный с ЧСС=72 уд/мин. Живот мягкий, безболезненный. АД 132/70 мм р ст. Рост – 166,0, вес – 50 кг.</w:t>
      </w:r>
    </w:p>
    <w:p>
      <w:pPr>
        <w:pStyle w:val="Heading2"/>
      </w:pPr>
      <w:r>
        <w:t>1. Установление инвалидности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Медико-социальная экспертиза с личным присутствием будет проводиться по решению бюро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желания ВК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нахождения пациента в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освидетельствования на уровне Федерального бюро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соответствующего предпочтения гражданина в согласии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соответствующего предпочтения гражданина в согласии</w:t>
      </w:r>
    </w:p>
    <w:p>
      <w:pPr>
        <w:spacing w:after="58"/>
      </w:pPr>
      <w:r>
        <w:rPr>
          <w:b w:val="0"/>
          <w:i w:val="0"/>
        </w:rPr>
        <w:t>Медико-социальная экспертиза с личным присутствием гражданина проводится по решению бюро (главного бюро, Федерального бюро) в случаях:</w:t>
      </w:r>
    </w:p>
    <w:p>
      <w:pPr>
        <w:spacing w:after="58"/>
      </w:pPr>
      <w:r>
        <w:rPr>
          <w:b w:val="0"/>
          <w:i w:val="0"/>
        </w:rPr>
        <w:t>а) наличия в направлении на медико-социальную экспертизу сведений о соответствующем предпочтении гражданина (его законного или уполномоченного представителя);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Правительства РФ от 5 апреля 2022 г. N 588 "О признании лица инвалидом" (с изменениями и дополнениями)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При осмотре пациентки выявлены значительные ограничения движений в суставах во всех направлениях: для локтевого, коленного, лучезапястного и голеностопного – 45-20. Отдельные виды схватывания и удержания предметов значительно затруднены, амплитуда движений пальцев 55-30. На стопе – нарушение опорной функции, ограничение движений пальцев с резким отклонением их кнаружи. Эти изменения соответствуют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степени нарушения функций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II</w:t>
      </w:r>
    </w:p>
    <w:p>
      <w:pPr>
        <w:spacing w:after="58"/>
      </w:pPr>
      <w:r>
        <w:rPr>
          <w:b w:val="0"/>
          <w:i w:val="0"/>
        </w:rPr>
        <w:t>Нарушение функций суставов. II степень - значительные ограничения движений в суставах во всех направлениях: для локтевого, коленного, лучезапястного и голеностопного – 45-20. Отдельные виды схватывания и удержания предметов значительно затруднены, амплитуда движений пальцев 55-30. На стопе – нарушение опорной функции, ограничение движений пальцев с резким отклонением их кнаружи.</w:t>
      </w:r>
    </w:p>
    <w:p>
      <w:pPr>
        <w:spacing w:after="58"/>
      </w:pPr>
      <w:r>
        <w:rPr>
          <w:b w:val="0"/>
          <w:i w:val="0"/>
        </w:rPr>
        <w:t>Источник: Справочник по медико-социальной экспертизе и реабилитации. / Под ред. В.Г.Помникова, М.В.Коробова.-4е изд., - СПб7: Гиппократ, 2017. Стр. 188</w:t>
      </w:r>
    </w:p>
    <w:p>
      <w:pPr>
        <w:spacing w:after="58"/>
      </w:pPr>
      <w:r>
        <w:rPr>
          <w:b w:val="0"/>
          <w:i w:val="0"/>
        </w:rPr>
        <w:t>Пузин, С. Н. Медико-социальная деятельность : учебник / С. Н. Пузин [ и др. ]; под ред. С. Н. Пузина, М. А. Рычковой. - Москва : ГЭОТАР-Медиа, 2019. - 416 с. - 416 с. - ISBN 978-5-9704-4930-1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При оценке функциональных возможностей пациентки определена адекватная нормальная активность, несмотря на затруднения вследствие дискомфорта или ограниченной подвижности в нескольких суставах, незначительно снижены самообслуживание, непрофессиональная деятельность, ограничена профессиональная деятельность. Это соответствует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II</w:t>
      </w:r>
    </w:p>
    <w:p>
      <w:pPr>
        <w:spacing w:after="58"/>
      </w:pPr>
      <w:r>
        <w:rPr>
          <w:b w:val="0"/>
          <w:i w:val="0"/>
        </w:rPr>
        <w:t>II ФК - адекватная нормальная активность, несмотря на затруднения вследствие дискомфорта или ограниченной подвижности в нескольких суставах, сохранены самообслуживание, непрофессиональная деятельность, ограничена профессиональная деятельность.</w:t>
      </w:r>
    </w:p>
    <w:p>
      <w:pPr>
        <w:spacing w:after="58"/>
      </w:pPr>
      <w:r>
        <w:rPr>
          <w:b w:val="0"/>
          <w:i w:val="0"/>
        </w:rPr>
        <w:t>Источник: Справочник по медико-социальной экспертизе и реабилитации. / Под ред. В.Г.Помникова, М.В.Коробова.-4е изд., - СПб7: Гиппократ, 2017. Стр. 188</w:t>
      </w:r>
    </w:p>
    <w:p>
      <w:pPr>
        <w:spacing w:after="58"/>
      </w:pPr>
      <w:r>
        <w:rPr>
          <w:b w:val="0"/>
          <w:i w:val="0"/>
        </w:rPr>
        <w:t>Пузин, С. Н. Медико-социальная деятельность : учебник / С. Н. Пузин [ и др. ]; под ред. С. Н. Пузина, М. А. Рычковой. - Москва : ГЭОТАР-Медиа, 2019. - 416 с. - 416 с. - ISBN 978-5-9704-4930-1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оценке способности к самообслуживанию у данной пациентки установлено, что самообслуживание ограничено, требует более длительное затрачивание времени, дробности выполнения, сокращении объема с использованием при необходимости вспомогательных технических средств. Это соответствует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степени ограничения способности к самообслуживанию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</w:t>
      </w:r>
    </w:p>
    <w:p>
      <w:pPr>
        <w:spacing w:after="58"/>
      </w:pPr>
      <w:r>
        <w:rPr>
          <w:b w:val="0"/>
          <w:i w:val="0"/>
        </w:rPr>
        <w:t>а) способность к самообслуживанию - способность человека самостоятельно осуществлять основные физиологические потребности, выполнять повседневную бытовую деятельность, в том числе использовать навыки личной гигиены:</w:t>
      </w:r>
    </w:p>
    <w:p>
      <w:pPr>
        <w:spacing w:after="58"/>
      </w:pPr>
      <w:r>
        <w:rPr>
          <w:b w:val="0"/>
          <w:i w:val="0"/>
        </w:rPr>
        <w:t>1 степень - способность к самообслуживанию при более длительном затрачивании времени, дробности его выполнения, сокращении объема с использованием при необходимости вспомогательных технических средств;</w:t>
      </w:r>
    </w:p>
    <w:p>
      <w:pPr>
        <w:spacing w:after="58"/>
      </w:pPr>
      <w:r>
        <w:rPr>
          <w:b w:val="0"/>
          <w:i w:val="0"/>
        </w:rPr>
        <w:t>2 степень - способность к самообслуживанию с регулярной частичной помощью других лиц с использованием при необходимости вспомогательных технических средств;</w:t>
      </w:r>
    </w:p>
    <w:p>
      <w:pPr>
        <w:spacing w:after="58"/>
      </w:pPr>
      <w:r>
        <w:rPr>
          <w:b w:val="0"/>
          <w:i w:val="0"/>
        </w:rPr>
        <w:t>3 степень - неспособность к самообслуживанию, нуждаемость в постоянной посторонней помощи и уходе, полная зависимость от других лиц;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При оценке способности к передвижению у данной пациентки установлена способность к самостоятельному передвижению при более длительном затрачивании времени, дробности выполнения и сокращении расстояния с использованием при необходимости вспомогательных технических средств. Это соответствует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степени ограничения способности к передвижению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б) способность к самостоятельному передвижению - способность самостоятельно перемещаться в пространстве, сохранять равновесие тела при передвижении, в покое и при перемене положения тела, пользоваться общественным транспортом:</w:t>
      </w:r>
    </w:p>
    <w:p>
      <w:pPr>
        <w:spacing w:after="58"/>
      </w:pPr>
      <w:r>
        <w:rPr>
          <w:b w:val="0"/>
          <w:i w:val="0"/>
        </w:rPr>
        <w:t>1 степень - способность к самостоятельному передвижению при более длительном затрачивании времени, дробности выполнения и сокращении расстояния с использованием при необходимости вспомогательных технических средств;</w:t>
      </w:r>
    </w:p>
    <w:p>
      <w:pPr>
        <w:spacing w:after="58"/>
      </w:pPr>
      <w:r>
        <w:rPr>
          <w:b w:val="0"/>
          <w:i w:val="0"/>
        </w:rPr>
        <w:t>2 степень - способность к самостоятельному передвижению с регулярной частичной помощью других лиц с использованием при необходимости вспомогательных технических средств;</w:t>
      </w:r>
    </w:p>
    <w:p>
      <w:pPr>
        <w:spacing w:after="58"/>
      </w:pPr>
      <w:r>
        <w:rPr>
          <w:b w:val="0"/>
          <w:i w:val="0"/>
        </w:rPr>
        <w:t>3 степень - неспособность к самостоятельному передвижению и нуждаемость в постоянной помощи других лиц;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У данной пациентки имеется стойкое нарушение функции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костно-суставной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сердечно-сосудистой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дыхательной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костно-суставной</w:t>
      </w:r>
    </w:p>
    <w:p>
      <w:pPr>
        <w:spacing w:after="58"/>
      </w:pPr>
      <w:r>
        <w:rPr>
          <w:b w:val="0"/>
          <w:i w:val="0"/>
        </w:rPr>
        <w:t>К основным видам стойких расстройств функций организма человека относятся:</w:t>
      </w:r>
    </w:p>
    <w:p>
      <w:pPr>
        <w:spacing w:after="58"/>
      </w:pPr>
      <w:r>
        <w:rPr>
          <w:b w:val="0"/>
          <w:i w:val="0"/>
        </w:rPr>
        <w:t>* нарушения психических функций (сознания, ориентации, интеллекта, личностных особенностей, волевых и побудительных функций, внимания, памяти, психомоторных функций, эмоций, восприятия, мышления, познавательных функций высокого уровня, умственных функций речи, последовательных сложных движений);</w:t>
      </w:r>
    </w:p>
    <w:p>
      <w:pPr>
        <w:spacing w:after="58"/>
      </w:pPr>
      <w:r>
        <w:rPr>
          <w:b w:val="0"/>
          <w:i w:val="0"/>
        </w:rPr>
        <w:t>* нарушения языковых и речевых функций (устной (ринолалия, дизартрия, заикание, алалия, афазия); письменной (дисграфия, дислексия), вербальной и невербальной речи; нарушение голоcообразования);</w:t>
      </w:r>
    </w:p>
    <w:p>
      <w:pPr>
        <w:spacing w:after="58"/>
      </w:pPr>
      <w:r>
        <w:rPr>
          <w:b w:val="0"/>
          <w:i w:val="0"/>
        </w:rPr>
        <w:t>* нарушения сенсорных функций (зрения; слуха; обоняния; осязания; тактильной, болевой, температурной, вибрационной и других видов чувствительности; вестибулярной функции; боль);</w:t>
      </w:r>
    </w:p>
    <w:p>
      <w:pPr>
        <w:spacing w:after="58"/>
      </w:pPr>
      <w:r>
        <w:rPr>
          <w:b w:val="0"/>
          <w:i w:val="0"/>
        </w:rPr>
        <w:t>* нарушения нейромышечных, скелетных и связанных с движением (статодинамических) функций (движения головы, туловища, конечностей, в том числе костей, суставов, мышц; статики, координации движений);</w:t>
      </w:r>
    </w:p>
    <w:p>
      <w:pPr>
        <w:spacing w:after="58"/>
      </w:pPr>
      <w:r>
        <w:rPr>
          <w:b w:val="0"/>
          <w:i w:val="0"/>
        </w:rPr>
        <w:t>* нарушения функций сердечно-сосудистой системы, дыхательной системы, пищеварительной, эндокринной систем и метаболизма, системы крови и иммунной системы, мочевыделительной функции, функции кожи и связанных с ней систем;</w:t>
      </w:r>
    </w:p>
    <w:p>
      <w:pPr>
        <w:spacing w:after="58"/>
      </w:pPr>
      <w:r>
        <w:rPr>
          <w:b w:val="0"/>
          <w:i w:val="0"/>
        </w:rPr>
        <w:t>* нарушения, обусловленные физическим внешним уродством (деформации лица, головы, туловища, конечностей, приводящие к внешнему уродству; аномальные отверстия пищеварительного, мочевыделительного, дыхательного трактов; нарушение размеров тела).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Проведена оценка способности к трудовой деятельности, установлена способность к выполнению трудовой деятельности в обычных условиях труда при снижении квалификации, тяжести, напряженности и (или) уменьшении объема работы, неспособность продолжать работу по основной профессии (должности, специальности) при сохранении возможности в обычных условиях труда выполнять трудовую деятельность более низкой квалификации. У данной пациентки имеется снижение способности к трудовой деятельности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</w:t>
      </w:r>
    </w:p>
    <w:p>
      <w:pPr>
        <w:spacing w:after="58"/>
      </w:pPr>
      <w:r>
        <w:rPr>
          <w:b w:val="0"/>
          <w:i w:val="0"/>
        </w:rPr>
        <w:t>ж) способность к трудовой деятельности - способность осуществлять трудовую деятельность в соответствии с требованиями к содержанию, объему, качеству и условиям выполнения работы:</w:t>
      </w:r>
    </w:p>
    <w:p>
      <w:pPr>
        <w:spacing w:after="58"/>
      </w:pPr>
      <w:r>
        <w:rPr>
          <w:b w:val="0"/>
          <w:i w:val="0"/>
        </w:rPr>
        <w:t>1 степень - способность к выполнению трудовой деятельности в обычных условиях труда при снижении квалификации, тяжести, напряженности и (или) уменьшении объема работы, неспособность продолжать работу по основной профессии (должности, специальности) при сохранении возможности в обычных условиях труда выполнять трудовую деятельность более низкой квалификации;</w:t>
      </w:r>
    </w:p>
    <w:p>
      <w:pPr>
        <w:spacing w:after="58"/>
      </w:pPr>
      <w:r>
        <w:rPr>
          <w:b w:val="0"/>
          <w:i w:val="0"/>
        </w:rPr>
        <w:t>2 степень - способность к выполнению трудовой деятельности в специально созданных условиях с использованием вспомогательных технических средств;</w:t>
      </w:r>
    </w:p>
    <w:p>
      <w:pPr>
        <w:spacing w:after="58"/>
      </w:pPr>
      <w:r>
        <w:rPr>
          <w:b w:val="0"/>
          <w:i w:val="0"/>
        </w:rPr>
        <w:t>3 степень - способность к выполнению элементарной трудовой деятельности со значительной помощью других лиц или невозможность (противопоказанность) ее осуществления в связи с имеющимися значительно выраженными нарушениями функций организма.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У пациентки выявлено нарушение здоровья человека с II степенью выраженности стойких нарушений функций организма, должна быть определена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группа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III</w:t>
      </w:r>
    </w:p>
    <w:p>
      <w:pPr>
        <w:spacing w:after="58"/>
      </w:pPr>
      <w:r>
        <w:rPr>
          <w:b w:val="0"/>
          <w:i w:val="0"/>
        </w:rPr>
        <w:t>Критерием для установления третьей группы инвалидности является нарушение здоровья человека с II степенью выраженности стойких нарушений функций организма (в диапазоне от 40 до 60 процентов), обусловленное заболеваниями, последствиями травм или дефектами.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необходимо проходить очередное переосвидетельствование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 год</w:t>
      </w:r>
    </w:p>
    <w:p>
      <w:pPr>
        <w:spacing w:after="58"/>
      </w:pPr>
      <w:r>
        <w:rPr>
          <w:b w:val="0"/>
          <w:i w:val="0"/>
        </w:rPr>
        <w:t>п.52. Переосвидетельствование инвалидов I группы проводится 1 раз в 2 года, инвалидов II и III групп - 1 раз в год, а детей-инвалидов - 1 раз в течение срока, на который ребенку установлена категория "ребенок-инвалид".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5 апреля 2022 г. N 588 "О признании лица инвалидом" (с изменениями и дополнениями)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Правительства РФ от 5 апреля 2022 г. N 588 "О признании лица инвалидом" (с изменениями и дополнениями)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Переосвидетельствование инвалидности данной пациентки может осуществляться заблаговременно, но не более чем за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месяца/месяцев до истечения установленного срока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</w:t>
      </w:r>
    </w:p>
    <w:p>
      <w:pPr>
        <w:spacing w:after="58"/>
      </w:pPr>
      <w:r>
        <w:rPr>
          <w:b w:val="0"/>
          <w:i w:val="0"/>
        </w:rPr>
        <w:t>п.53 Переосвидетельствование инвалида может осуществляться заблаговременно, но не более чем за 2 месяца до истечения установленного срока инвалидности.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5 апреля 2022 г. N 588 "О признании лица инвалидом" (с изменениями и дополнениями)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Правительства РФ от 5 апреля 2022 г. N 588 "О признании лица инвалидом" (с изменениями и дополнениями)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Реабилитация/Абилитация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Первый этап разработки ИПРА данной пациентки будет включать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реабилитационного потенциала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комплекса оптимальных услуг по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комплекса оптимальных мероприятий по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установку цели комплексной реабилитации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оценку реабилитационного потенциала</w:t>
      </w:r>
    </w:p>
    <w:p>
      <w:pPr>
        <w:spacing w:after="58"/>
      </w:pPr>
      <w:r>
        <w:rPr>
          <w:b w:val="0"/>
          <w:i w:val="0"/>
        </w:rPr>
        <w:t>5. Разработка ИПРА состоит из этапов:</w:t>
      </w:r>
    </w:p>
    <w:p>
      <w:pPr>
        <w:spacing w:after="58"/>
      </w:pPr>
      <w:r>
        <w:rPr>
          <w:b w:val="0"/>
          <w:i w:val="0"/>
        </w:rPr>
        <w:t>1) первый этап включает комплекс следующих мероприятий: проведение реабилитационно-абилитационной экспертной диагностики; оценка реабилитационного и абилитационного потенциала; определение реабилитационного и абилитационного прогноза;</w:t>
      </w:r>
    </w:p>
    <w:p>
      <w:pPr>
        <w:spacing w:after="58"/>
      </w:pPr>
      <w:r>
        <w:rPr>
          <w:b w:val="0"/>
          <w:i w:val="0"/>
        </w:rPr>
        <w:t>2) второй этап включает определение комплекса оптимальных для инвалида (ребенка-инвалида) мероприятий и услуг по основным направлениям комплексной реабилитации и абилитации инвалида (ребенка-инвалида), включая технические средства реабилитации, реабилитационные мероприятия, товары и услуги, позволяющие инвалиду (ребенку-инвалиду) восстановить (сформировать) (полностью или частично) утраченные способности к выполнению бытовой, общественной, профессиональной деятельности с учетом его потребностей; установление сроков и порядка реализации комплекса оптимальных для инвалида (ребенка-инвалида) мероприятий и услуг по основным направлениям комплексной реабилитации и абилитации инвалида (ребенка-инвалида); определение цели комплексной реабилитации и абилитации.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Приказ Минтруда РФ от 18.09.2024 N 466Н "Об утверждении Порядка разработки и реализации индивидуальной программы реабилитации и абилитации инвалида, индивидуальной программы реабилитации и абилитации ребенка-инвалида и их форм, а также порядка привлечения к разработке индивидуальной программы реабилитации и абилитации инвалида и индивидуальной программы реабилитации и абилитации ребенка-инвалида реабилитационных организаций и порядка координации реализации индивидуальной программы реабилитации и абилитации инвалида и индивидуальной программы реабилитации и абилитации ребенка-инвалида, включая мониторинг такой реализации и предоставление информации о результатах мониторинга в Высший исполнительный орган субъекта Российской Федерации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Если целью медико-социальной экспертизы гражданина, ранее признанного инвалидом, является разработка индивидуальной программы реабилитации или абилитации инвалида, то освидетельствование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дистанционно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дистанционно обезличенно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заочно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очно</w:t>
      </w:r>
    </w:p>
    <w:p>
      <w:pPr>
        <w:spacing w:after="58"/>
      </w:pPr>
      <w:r>
        <w:rPr>
          <w:b w:val="0"/>
          <w:i w:val="0"/>
        </w:rPr>
        <w:t>е) если целью медико-социальной экспертизы гражданина, ранее признанного инвалидом, является разработка индивидуальной программы реабилитации или абилитации инвалида (ребенка-инвалида), за исключением случаев необходимости изменения персональных данных инвалида (ребенка-инвалида) и устранения технических ошибок (описок, опечаток, грамматических или арифметических ошибок либо подобных ошибок);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Правительства РФ от 5 апреля 2022 г. N 588 "О признании лица инвалидом" (с изменениями и дополнениями)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588/" TargetMode="External"/><Relationship Id="rId21" Type="http://schemas.openxmlformats.org/officeDocument/2006/relationships/hyperlink" Target="https://library.mededtech.ru/rest/documents/prikazN588/#p_32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9301/?anchor=list_item_21i4bq#list_item_21i4bq" TargetMode="External"/><Relationship Id="rId24" Type="http://schemas.openxmlformats.org/officeDocument/2006/relationships/hyperlink" Target="https://library.mededtech.ru/rest/documents/ISBN9785970449301/?anchor=list_item_csedu1#list_item_csedu1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MnN374n/" TargetMode="External"/><Relationship Id="rId27" Type="http://schemas.openxmlformats.org/officeDocument/2006/relationships/hyperlink" Target="https://library.mededtech.ru/rest/documents/prikMnN374n/#paragraph_n0ccfn" TargetMode="External"/><Relationship Id="rId28" Type="http://schemas.openxmlformats.org/officeDocument/2006/relationships/hyperlink" Target="https://library.mededtech.ru/rest/documents/prikMnN374n/#paragraph_4eev5g" TargetMode="External"/><Relationship Id="rId29" Type="http://schemas.openxmlformats.org/officeDocument/2006/relationships/hyperlink" Target="https://library.mededtech.ru/rest/documents/prikMnN374n/#paragraph_nda3q1" TargetMode="External"/><Relationship Id="rId30" Type="http://schemas.openxmlformats.org/officeDocument/2006/relationships/hyperlink" Target="https://library.mededtech.ru/rest/documents/prikMnN374n/#paragraph_mojtf3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prikMnN374n/#paragraph_aq9oru" TargetMode="External"/><Relationship Id="rId33" Type="http://schemas.openxmlformats.org/officeDocument/2006/relationships/hyperlink" Target="https://library.mededtech.ru/rest/documents/prikazN588/#p_52" TargetMode="External"/><Relationship Id="rId34" Type="http://schemas.openxmlformats.org/officeDocument/2006/relationships/hyperlink" Target="https://library.mededtech.ru/rest/documents/prikazN588/#p_53" TargetMode="External"/><Relationship Id="rId35" Type="http://schemas.openxmlformats.org/officeDocument/2006/relationships/hyperlink" Target="https://library.mededtech.ru/rest/documents/prikazMTN466/" TargetMode="External"/><Relationship Id="rId36" Type="http://schemas.openxmlformats.org/officeDocument/2006/relationships/hyperlink" Target="https://library.mededtech.ru/rest/documents/prikazMTN466/#paragraph_npk59m" TargetMode="External"/><Relationship Id="rId37" Type="http://schemas.openxmlformats.org/officeDocument/2006/relationships/hyperlink" Target="https://library.mededtech.ru/rest/documents/prikazN588/#list_item_en6u8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